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rPr>
          <w:sz w:val="28"/>
          <w:szCs w:val="28"/>
          <w:lang w:val="en-US"/>
        </w:rPr>
      </w:pPr>
    </w:p>
    <w:p>
      <w:pPr>
        <w:pStyle w:val="Обычный"/>
        <w:rPr>
          <w:sz w:val="28"/>
          <w:szCs w:val="28"/>
          <w:lang w:val="en-US"/>
        </w:rPr>
      </w:pPr>
    </w:p>
    <w:p>
      <w:pPr>
        <w:pStyle w:val="Обычный"/>
        <w:rPr>
          <w:sz w:val="28"/>
          <w:szCs w:val="28"/>
        </w:rPr>
      </w:pP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 xml:space="preserve">        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>Основы радиотехники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 xml:space="preserve">, 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:lang w:val="ru-RU"/>
          <w14:textFill>
            <w14:solidFill>
              <w14:srgbClr w14:val="15428B"/>
            </w14:solidFill>
          </w14:textFill>
        </w:rPr>
        <w:t>электроники и телекоммуникаций</w:t>
      </w:r>
      <w:r>
        <w:rPr>
          <w:b w:val="1"/>
          <w:bCs w:val="1"/>
          <w:outline w:val="0"/>
          <w:color w:val="15428b"/>
          <w:sz w:val="28"/>
          <w:szCs w:val="28"/>
          <w:u w:color="15428b"/>
          <w:rtl w:val="0"/>
          <w14:textFill>
            <w14:solidFill>
              <w14:srgbClr w14:val="15428B"/>
            </w14:solidFill>
          </w14:textFill>
        </w:rPr>
        <w:t xml:space="preserve"> 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sz w:val="28"/>
          <w:szCs w:val="28"/>
        </w:rPr>
      </w:pP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Частотно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модулированный сигнал с несущей частотой Ω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Энергия и коэффициент полезного действия амплитудно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модулированного сигнала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Фазово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модулированный сигнал с частотой модуляции ω</w:t>
      </w:r>
      <w:r>
        <w:rPr>
          <w:sz w:val="28"/>
          <w:szCs w:val="28"/>
          <w:vertAlign w:val="subscript"/>
          <w:rtl w:val="0"/>
        </w:rPr>
        <w:t>0.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Модулированные  радиосигналы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  <w:lang w:val="ru-RU"/>
        </w:rPr>
        <w:t>мплитудн</w:t>
      </w:r>
      <w:r>
        <w:rPr>
          <w:sz w:val="28"/>
          <w:szCs w:val="28"/>
          <w:rtl w:val="0"/>
        </w:rPr>
        <w:t>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импульсная модуляция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Формула сигнала с заданной длительностью импульса и периодом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Синхронизация автоколебательных систем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Уравнение Адлера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Диаграмма Арнольда</w:t>
      </w:r>
      <w:r>
        <w:rPr>
          <w:sz w:val="28"/>
          <w:szCs w:val="28"/>
          <w:rtl w:val="0"/>
        </w:rPr>
        <w:t>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Различие фазовой и частотной модуляции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Фазовая автоподстройка частоты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Фазовые компораторы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Генератор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управляемый напряжением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Варикап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использование в генераторе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управляемого напряжением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Спектр частот электромагнитных волн</w:t>
      </w:r>
    </w:p>
    <w:p>
      <w:pPr>
        <w:pStyle w:val="List Paragraph"/>
        <w:spacing w:after="20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after="20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Понятие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информационная энтропия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Потеря информации в каналах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Пропускная способность каналов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Формула Шеннона</w:t>
      </w:r>
    </w:p>
    <w:p>
      <w:pPr>
        <w:pStyle w:val="List Paragraph"/>
        <w:numPr>
          <w:ilvl w:val="0"/>
          <w:numId w:val="2"/>
        </w:numPr>
        <w:bidi w:val="0"/>
        <w:spacing w:after="200" w:line="276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Скорость передачи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Пропускная способность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канала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формула Шеннона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Примеры определения пропускной способности конкретных каналов связи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Условная вероятность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алгоритм определения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Условная энтропия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пример использования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OLE_LINK1" w:id="0"/>
      <w:r>
        <w:rPr>
          <w:rFonts w:ascii="Times New Roman" w:hAnsi="Times New Roman" w:hint="default"/>
          <w:sz w:val="28"/>
          <w:szCs w:val="28"/>
          <w:rtl w:val="0"/>
        </w:rPr>
        <w:t>О</w:t>
      </w:r>
      <w:bookmarkEnd w:id="0"/>
      <w:bookmarkStart w:name="OLE_LINK2" w:id="1"/>
      <w:r>
        <w:rPr>
          <w:rFonts w:ascii="Times New Roman" w:hAnsi="Times New Roman" w:hint="default"/>
          <w:sz w:val="28"/>
          <w:szCs w:val="28"/>
          <w:rtl w:val="0"/>
        </w:rPr>
        <w:t>пределение информации через разность энтропий</w:t>
      </w:r>
      <w:bookmarkEnd w:id="1"/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Основные уравнения электромагнитного поля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Связь частоты с волновым числом электромагнитного поля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Связь диэлектрической проницаемости с плазменной частотой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Условия отражения прохождения электромагнитных волн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Распространение радиоволн в наносфере</w:t>
      </w: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Модули телекоммуникационной системы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Многоканальные телекоммуникационные сети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Беспроводные технологии передачи информации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мобильная связь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Плезиохронная синхронная цифровая иерархия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Маршрутизация информации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Сверхширокополосная телекоммуникация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Частотное разделение сигналов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указать условия реализации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Временное разделение сигналов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указать условия реализации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Коммутация каналов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число коммутационных точек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Типы антенн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их характеристики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волновое сопротивление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направленность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Фазированная антенная решетка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фрактальные антенны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примеры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Протоколы </w:t>
      </w:r>
      <w:r>
        <w:rPr>
          <w:rFonts w:ascii="Times New Roman" w:hAnsi="Times New Roman" w:hint="default"/>
          <w:sz w:val="28"/>
          <w:szCs w:val="28"/>
          <w:rtl w:val="0"/>
        </w:rPr>
        <w:t>кодирования сигналов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Протоколы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модуляции сигналов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Оптимальное кодирование для сжатия информации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связь с энтропией</w:t>
      </w:r>
    </w:p>
    <w:p>
      <w:pPr>
        <w:pStyle w:val="Абзац списка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Понятие об интеллектуальных сетях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нейронные сети</w:t>
      </w: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Абзац списка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